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59D3A54A" w14:textId="77777777"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ТКБ Инвестмент Партнерс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778DBF4" w14:textId="77777777"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Интервальный паевой инвестиционный комбинированный фонд «Страховой резерв» (Номер правил доверительного управления фондом № 7133-СД, дата присвоения номера – 25 июня 2025 г.).</w:t>
      </w:r>
    </w:p>
    <w:p w14:paraId="629AF1D6" w14:textId="77777777"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Инвестиционные паи ИПИФ комбинированный «Страховой резерв» ограничены в обороте (предназначены для квалифицированных инвесторов).</w:t>
      </w:r>
    </w:p>
    <w:p w14:paraId="45690C9A" w14:textId="5B42291D"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 xml:space="preserve">Получить информацию об ИПИФ комбинированный «Страховой резерв»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по адресу: Российская Федерация, 191119, Санкт-Петербург, улица Марата, дом 69–71, лит. А, или по телефону (812) 332-7-332. </w:t>
      </w:r>
    </w:p>
    <w:p w14:paraId="6A153E65" w14:textId="77777777" w:rsidR="00E35B8D" w:rsidRPr="003445DE" w:rsidRDefault="00E35B8D" w:rsidP="007C6982">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9D742B" w:rsidRPr="003445DE" w14:paraId="1070E4B4" w14:textId="77777777" w:rsidTr="008174A8">
        <w:trPr>
          <w:trHeight w:val="1275"/>
        </w:trPr>
        <w:tc>
          <w:tcPr>
            <w:tcW w:w="4962" w:type="dxa"/>
          </w:tcPr>
          <w:p w14:paraId="7E6E2816" w14:textId="77777777" w:rsidR="009D742B" w:rsidRPr="003445DE" w:rsidRDefault="009D742B" w:rsidP="009D742B">
            <w:pPr>
              <w:pStyle w:val="a6"/>
              <w:spacing w:line="360" w:lineRule="auto"/>
              <w:rPr>
                <w:b/>
              </w:rPr>
            </w:pPr>
            <w:bookmarkStart w:id="0" w:name="_GoBack" w:colFirst="0" w:colLast="1"/>
            <w:r w:rsidRPr="003445DE" w:rsidDel="000D6427">
              <w:rPr>
                <w:b/>
                <w:snapToGrid w:val="0"/>
                <w:sz w:val="24"/>
                <w:szCs w:val="24"/>
              </w:rPr>
              <w:t xml:space="preserve"> </w:t>
            </w:r>
            <w:r w:rsidRPr="003445DE">
              <w:rPr>
                <w:b/>
              </w:rPr>
              <w:t>«СОГЛАСОВАНО»</w:t>
            </w:r>
          </w:p>
          <w:p w14:paraId="6304D77D" w14:textId="77777777" w:rsidR="009D742B" w:rsidRDefault="009D742B" w:rsidP="009D742B">
            <w:pPr>
              <w:pStyle w:val="a6"/>
              <w:spacing w:line="360" w:lineRule="auto"/>
            </w:pPr>
            <w:r w:rsidRPr="003445DE">
              <w:t>«</w:t>
            </w:r>
            <w:r>
              <w:t xml:space="preserve">01» июля </w:t>
            </w:r>
            <w:r w:rsidRPr="003445DE">
              <w:t xml:space="preserve">2026 г. </w:t>
            </w:r>
          </w:p>
          <w:p w14:paraId="4BCBCE38" w14:textId="77777777" w:rsidR="009D742B" w:rsidRPr="003445DE" w:rsidRDefault="009D742B" w:rsidP="009D742B">
            <w:pPr>
              <w:pStyle w:val="a6"/>
              <w:spacing w:line="360" w:lineRule="auto"/>
            </w:pPr>
          </w:p>
          <w:p w14:paraId="64B32531" w14:textId="77777777" w:rsidR="009D742B" w:rsidRPr="003445DE" w:rsidRDefault="009D742B" w:rsidP="009D742B">
            <w:pPr>
              <w:pStyle w:val="a6"/>
              <w:spacing w:line="360" w:lineRule="auto"/>
            </w:pPr>
            <w:r>
              <w:t xml:space="preserve">Начальник управления развития клиентских отношений </w:t>
            </w:r>
            <w:r w:rsidRPr="003445DE">
              <w:rPr>
                <w:sz w:val="24"/>
                <w:szCs w:val="24"/>
                <w:lang w:eastAsia="ru-RU"/>
              </w:rPr>
              <w:t>АО «Специализированный депозитарий «ИНФИНИТУМ»</w:t>
            </w:r>
          </w:p>
          <w:p w14:paraId="28A414E1" w14:textId="47A6A364" w:rsidR="009D742B" w:rsidRPr="003445DE" w:rsidRDefault="009D742B" w:rsidP="009D742B">
            <w:pPr>
              <w:pStyle w:val="a6"/>
              <w:spacing w:line="360" w:lineRule="auto"/>
            </w:pPr>
            <w:r w:rsidRPr="003445DE">
              <w:t xml:space="preserve">_________________ </w:t>
            </w:r>
            <w:r>
              <w:t>Сундукова И.В</w:t>
            </w:r>
            <w:r w:rsidRPr="003445DE">
              <w:t xml:space="preserve">.      </w:t>
            </w:r>
          </w:p>
        </w:tc>
        <w:tc>
          <w:tcPr>
            <w:tcW w:w="4332" w:type="dxa"/>
          </w:tcPr>
          <w:p w14:paraId="78D9768B" w14:textId="77777777" w:rsidR="009D742B" w:rsidRPr="003445DE" w:rsidRDefault="009D742B" w:rsidP="009D742B">
            <w:pPr>
              <w:pStyle w:val="a6"/>
              <w:spacing w:line="360" w:lineRule="auto"/>
              <w:rPr>
                <w:b/>
              </w:rPr>
            </w:pPr>
            <w:r w:rsidRPr="003445DE" w:rsidDel="00C60710">
              <w:rPr>
                <w:b/>
              </w:rPr>
              <w:t xml:space="preserve"> </w:t>
            </w:r>
            <w:r w:rsidRPr="003445DE">
              <w:rPr>
                <w:b/>
              </w:rPr>
              <w:t>«УТВЕРЖДЕНО»</w:t>
            </w:r>
          </w:p>
          <w:p w14:paraId="49A5AAD5" w14:textId="77777777" w:rsidR="009D742B" w:rsidRPr="003445DE" w:rsidRDefault="009D742B" w:rsidP="009D742B">
            <w:pPr>
              <w:pStyle w:val="a6"/>
              <w:spacing w:line="360" w:lineRule="auto"/>
            </w:pPr>
            <w:r w:rsidRPr="003445DE">
              <w:t xml:space="preserve"> «</w:t>
            </w:r>
            <w:r>
              <w:t xml:space="preserve">01» июля </w:t>
            </w:r>
            <w:r w:rsidRPr="003445DE">
              <w:t xml:space="preserve">2026 г. </w:t>
            </w:r>
          </w:p>
          <w:p w14:paraId="73977C6D" w14:textId="77777777" w:rsidR="009D742B" w:rsidRPr="003445DE" w:rsidRDefault="009D742B" w:rsidP="009D742B">
            <w:pPr>
              <w:pStyle w:val="a6"/>
              <w:spacing w:line="360" w:lineRule="auto"/>
            </w:pPr>
          </w:p>
          <w:p w14:paraId="158D53A4" w14:textId="77777777" w:rsidR="009D742B" w:rsidRPr="003445DE" w:rsidRDefault="009D742B" w:rsidP="009D742B">
            <w:pPr>
              <w:pStyle w:val="a6"/>
              <w:spacing w:line="360" w:lineRule="auto"/>
            </w:pPr>
            <w:r w:rsidRPr="003445DE">
              <w:t>Генеральный директор</w:t>
            </w:r>
          </w:p>
          <w:p w14:paraId="69CE7FBC" w14:textId="77777777" w:rsidR="009D742B" w:rsidRPr="003445DE" w:rsidRDefault="009D742B" w:rsidP="009D742B">
            <w:pPr>
              <w:pStyle w:val="a6"/>
              <w:spacing w:line="360" w:lineRule="auto"/>
            </w:pPr>
            <w:r w:rsidRPr="003445DE">
              <w:t>ТКБ Инвестмент Партнерс</w:t>
            </w:r>
          </w:p>
          <w:p w14:paraId="3207423D" w14:textId="77777777" w:rsidR="009D742B" w:rsidRPr="003445DE" w:rsidRDefault="009D742B" w:rsidP="009D742B">
            <w:pPr>
              <w:pStyle w:val="a6"/>
              <w:spacing w:line="360" w:lineRule="auto"/>
            </w:pPr>
            <w:r w:rsidRPr="003445DE">
              <w:t>(Акционерное общество)</w:t>
            </w:r>
          </w:p>
          <w:p w14:paraId="3CCC9B5C" w14:textId="5B84EA10" w:rsidR="009D742B" w:rsidRPr="003445DE" w:rsidRDefault="009D742B" w:rsidP="009D742B">
            <w:pPr>
              <w:pStyle w:val="a6"/>
              <w:spacing w:line="360" w:lineRule="auto"/>
            </w:pPr>
            <w:r w:rsidRPr="003445DE">
              <w:t>_________________ Мордавченков А.А.</w:t>
            </w:r>
          </w:p>
        </w:tc>
      </w:tr>
      <w:bookmarkEnd w:id="0"/>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75EB508E" w14:textId="458B9D5A" w:rsidR="009E578F" w:rsidRPr="003445DE" w:rsidRDefault="003C5FAE" w:rsidP="00E845C5">
      <w:pPr>
        <w:tabs>
          <w:tab w:val="left" w:pos="8364"/>
        </w:tabs>
        <w:spacing w:line="360" w:lineRule="auto"/>
        <w:jc w:val="center"/>
        <w:outlineLvl w:val="0"/>
        <w:rPr>
          <w:snapToGrid w:val="0"/>
          <w:vertAlign w:val="superscript"/>
        </w:rPr>
      </w:pPr>
      <w:r>
        <w:rPr>
          <w:snapToGrid w:val="0"/>
          <w:sz w:val="26"/>
          <w:szCs w:val="26"/>
          <w:u w:val="single"/>
        </w:rPr>
        <w:t>ИНТЕРВАЛЬНОГО</w:t>
      </w:r>
      <w:r w:rsidR="00276219" w:rsidRPr="003445DE">
        <w:rPr>
          <w:snapToGrid w:val="0"/>
          <w:sz w:val="26"/>
          <w:szCs w:val="26"/>
          <w:u w:val="single"/>
        </w:rPr>
        <w:t xml:space="preserve"> </w:t>
      </w:r>
      <w:r>
        <w:rPr>
          <w:snapToGrid w:val="0"/>
          <w:sz w:val="26"/>
          <w:szCs w:val="26"/>
          <w:u w:val="single"/>
        </w:rPr>
        <w:t>ПАЕВОГО ИНВЕСТИЦИОННОГО</w:t>
      </w:r>
      <w:r w:rsidR="009E578F" w:rsidRPr="003445DE">
        <w:rPr>
          <w:snapToGrid w:val="0"/>
          <w:sz w:val="26"/>
          <w:szCs w:val="26"/>
          <w:u w:val="single"/>
        </w:rPr>
        <w:t xml:space="preserve"> </w:t>
      </w:r>
      <w:r>
        <w:rPr>
          <w:snapToGrid w:val="0"/>
          <w:sz w:val="26"/>
          <w:szCs w:val="26"/>
          <w:u w:val="single"/>
        </w:rPr>
        <w:t>КОМБИНИРОВАННОГО</w:t>
      </w:r>
      <w:r w:rsidR="00276219" w:rsidRPr="003445DE">
        <w:rPr>
          <w:snapToGrid w:val="0"/>
          <w:sz w:val="26"/>
          <w:szCs w:val="26"/>
          <w:u w:val="single"/>
        </w:rPr>
        <w:t xml:space="preserve"> </w:t>
      </w:r>
      <w:r w:rsidR="009E578F" w:rsidRPr="003445DE">
        <w:rPr>
          <w:snapToGrid w:val="0"/>
          <w:sz w:val="26"/>
          <w:szCs w:val="26"/>
          <w:u w:val="single"/>
        </w:rPr>
        <w:t>ФОНД</w:t>
      </w:r>
      <w:r>
        <w:rPr>
          <w:snapToGrid w:val="0"/>
          <w:sz w:val="26"/>
          <w:szCs w:val="26"/>
          <w:u w:val="single"/>
        </w:rPr>
        <w:t>А</w:t>
      </w:r>
      <w:r w:rsidR="009E578F" w:rsidRPr="003445DE">
        <w:rPr>
          <w:snapToGrid w:val="0"/>
          <w:sz w:val="26"/>
          <w:szCs w:val="26"/>
          <w:u w:val="single"/>
        </w:rPr>
        <w:t xml:space="preserve"> «</w:t>
      </w:r>
      <w:r w:rsidR="00276219" w:rsidRPr="003445DE">
        <w:rPr>
          <w:snapToGrid w:val="0"/>
          <w:sz w:val="26"/>
          <w:szCs w:val="26"/>
          <w:u w:val="single"/>
        </w:rPr>
        <w:t>СТРАХОВОЙ РЕЗЕРВ</w:t>
      </w:r>
      <w:r w:rsidR="009E578F" w:rsidRPr="003445DE">
        <w:rPr>
          <w:snapToGrid w:val="0"/>
          <w:sz w:val="26"/>
          <w:szCs w:val="26"/>
          <w:u w:val="single"/>
        </w:rPr>
        <w:t>»</w:t>
      </w:r>
    </w:p>
    <w:p w14:paraId="5F7E50BE" w14:textId="563955DE" w:rsidR="00B06C6D" w:rsidRDefault="00B06C6D" w:rsidP="00B06C6D">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(полное название паевого инвестиционного фонда)</w:t>
      </w:r>
    </w:p>
    <w:p w14:paraId="4569AC76" w14:textId="77777777" w:rsidR="003C5FAE" w:rsidRPr="00A963E1" w:rsidRDefault="003C5FAE" w:rsidP="003C5FAE">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020A041C" w14:textId="77777777" w:rsidR="003C5FAE" w:rsidRPr="00A963E1" w:rsidRDefault="003C5FAE" w:rsidP="003C5FAE">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70A00195" w14:textId="77777777" w:rsidR="003C5FAE" w:rsidRPr="003445DE" w:rsidRDefault="003C5FAE" w:rsidP="00B06C6D">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7CAC7AE1" w14:textId="77777777" w:rsidR="00A36D4D" w:rsidRDefault="00A36D4D">
      <w:pPr>
        <w:suppressAutoHyphens w:val="0"/>
        <w:autoSpaceDE/>
        <w:spacing w:after="160" w:line="259" w:lineRule="auto"/>
        <w:rPr>
          <w:sz w:val="24"/>
          <w:szCs w:val="24"/>
        </w:rPr>
      </w:pPr>
      <w:r>
        <w:rPr>
          <w:sz w:val="24"/>
          <w:szCs w:val="24"/>
        </w:rPr>
        <w:br w:type="page"/>
      </w:r>
    </w:p>
    <w:p w14:paraId="12275CE0" w14:textId="685E1730"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46EDEF2F" w:rsidR="005404DA" w:rsidRPr="003445DE" w:rsidRDefault="00A36D4D" w:rsidP="00E845C5">
      <w:pPr>
        <w:autoSpaceDN w:val="0"/>
        <w:adjustRightInd w:val="0"/>
        <w:spacing w:line="360" w:lineRule="auto"/>
        <w:ind w:firstLine="708"/>
        <w:jc w:val="both"/>
        <w:rPr>
          <w:sz w:val="24"/>
          <w:szCs w:val="24"/>
          <w:lang w:eastAsia="ru-RU"/>
        </w:rPr>
      </w:pPr>
      <w:r w:rsidRPr="00A40BA5">
        <w:rPr>
          <w:sz w:val="24"/>
          <w:szCs w:val="24"/>
          <w:lang w:eastAsia="ru-RU"/>
        </w:rPr>
        <w:t xml:space="preserve">Настоящие изменения и дополнения в Правила определения стоимости чистых активов </w:t>
      </w:r>
      <w:r w:rsidR="005404DA" w:rsidRPr="003445DE">
        <w:rPr>
          <w:sz w:val="24"/>
          <w:szCs w:val="24"/>
          <w:lang w:eastAsia="ru-RU"/>
        </w:rPr>
        <w:t xml:space="preserve">(далее – Правила определения СЧА) </w:t>
      </w:r>
      <w:r w:rsidR="009101EE" w:rsidRPr="003445DE">
        <w:rPr>
          <w:sz w:val="24"/>
          <w:szCs w:val="24"/>
          <w:lang w:eastAsia="ru-RU"/>
        </w:rPr>
        <w:t xml:space="preserve">интервального </w:t>
      </w:r>
      <w:r w:rsidR="005404DA" w:rsidRPr="003445DE">
        <w:rPr>
          <w:sz w:val="24"/>
          <w:szCs w:val="24"/>
          <w:lang w:eastAsia="ru-RU"/>
        </w:rPr>
        <w:t xml:space="preserve">паевого инвестиционного </w:t>
      </w:r>
      <w:r w:rsidR="009101EE" w:rsidRPr="003445DE">
        <w:rPr>
          <w:sz w:val="24"/>
          <w:szCs w:val="24"/>
          <w:lang w:eastAsia="ru-RU"/>
        </w:rPr>
        <w:t xml:space="preserve">комбинированного </w:t>
      </w:r>
      <w:r w:rsidR="005404DA" w:rsidRPr="003445DE">
        <w:rPr>
          <w:sz w:val="24"/>
          <w:szCs w:val="24"/>
          <w:lang w:eastAsia="ru-RU"/>
        </w:rPr>
        <w:t>фонда «</w:t>
      </w:r>
      <w:r w:rsidR="009101EE" w:rsidRPr="003445DE">
        <w:rPr>
          <w:sz w:val="24"/>
          <w:szCs w:val="24"/>
          <w:lang w:eastAsia="ru-RU"/>
        </w:rPr>
        <w:t>Страховой резерв</w:t>
      </w:r>
      <w:r w:rsidR="005404DA" w:rsidRPr="003445DE">
        <w:rPr>
          <w:sz w:val="24"/>
          <w:szCs w:val="24"/>
          <w:lang w:eastAsia="ru-RU"/>
        </w:rPr>
        <w:t xml:space="preserve">» (далее – Фонд) 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1ED40DB8" w14:textId="77777777" w:rsidR="00CC19CB" w:rsidRPr="00A80BB4" w:rsidRDefault="00CC19CB" w:rsidP="00CC19CB">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3980D765"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DD79205" w14:textId="77777777" w:rsidR="00A36D4D" w:rsidRDefault="00A36D4D" w:rsidP="00A36D4D">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420999C4" w14:textId="77777777" w:rsidR="00A36D4D" w:rsidRPr="006F3994" w:rsidRDefault="00A36D4D" w:rsidP="00A36D4D">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055CC6C7" w14:textId="77777777" w:rsidR="00A36D4D" w:rsidRPr="00AB5676" w:rsidRDefault="00A36D4D" w:rsidP="00A36D4D">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4E23A79"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определяется: </w:t>
      </w:r>
    </w:p>
    <w:p w14:paraId="65EA15D0"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на дату завершения (окончания) формирования паевого инвестиционного фонда;</w:t>
      </w:r>
    </w:p>
    <w:p w14:paraId="6053AEF1"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в случае приостановления выдачи, погашения и обмена инвестиционных паев - на дату возобновления их выдачи, погашения и обмена;</w:t>
      </w:r>
    </w:p>
    <w:p w14:paraId="056B405A"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в случае прекращения паевого инвестиционного фонда - на дату возникновения основания его прекращения;</w:t>
      </w:r>
    </w:p>
    <w:p w14:paraId="2694C772" w14:textId="77777777" w:rsidR="003F3AB7" w:rsidRDefault="00A24024" w:rsidP="003F3AB7">
      <w:pPr>
        <w:autoSpaceDN w:val="0"/>
        <w:adjustRightInd w:val="0"/>
        <w:spacing w:line="360" w:lineRule="auto"/>
        <w:ind w:firstLine="708"/>
        <w:jc w:val="both"/>
        <w:rPr>
          <w:sz w:val="24"/>
          <w:szCs w:val="24"/>
          <w:lang w:eastAsia="ru-RU"/>
        </w:rPr>
      </w:pPr>
      <w:r w:rsidRPr="003445DE">
        <w:rPr>
          <w:sz w:val="24"/>
          <w:szCs w:val="24"/>
          <w:lang w:eastAsia="ru-RU"/>
        </w:rPr>
        <w:lastRenderedPageBreak/>
        <w:t xml:space="preserve">- </w:t>
      </w:r>
      <w:r w:rsidR="00421397" w:rsidRPr="003445DE">
        <w:rPr>
          <w:sz w:val="24"/>
          <w:szCs w:val="24"/>
          <w:lang w:eastAsia="ru-RU"/>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w:t>
      </w:r>
      <w:r w:rsidR="001D1F4C" w:rsidRPr="003445DE">
        <w:rPr>
          <w:sz w:val="24"/>
          <w:szCs w:val="24"/>
          <w:lang w:eastAsia="ru-RU"/>
        </w:rPr>
        <w:t xml:space="preserve"> специализированный депозитарий;</w:t>
      </w:r>
      <w:r w:rsidR="00421397" w:rsidRPr="003445DE">
        <w:rPr>
          <w:sz w:val="24"/>
          <w:szCs w:val="24"/>
          <w:lang w:eastAsia="ru-RU"/>
        </w:rPr>
        <w:t xml:space="preserve">   </w:t>
      </w:r>
    </w:p>
    <w:p w14:paraId="1A9626D9" w14:textId="77777777" w:rsidR="003F3AB7" w:rsidRDefault="00A24024" w:rsidP="003F3AB7">
      <w:pPr>
        <w:autoSpaceDN w:val="0"/>
        <w:adjustRightInd w:val="0"/>
        <w:spacing w:line="360" w:lineRule="auto"/>
        <w:ind w:firstLine="708"/>
        <w:jc w:val="both"/>
        <w:rPr>
          <w:sz w:val="24"/>
          <w:szCs w:val="24"/>
          <w:lang w:eastAsia="ru-RU"/>
        </w:rPr>
      </w:pPr>
      <w:r w:rsidRPr="003F3AB7">
        <w:rPr>
          <w:sz w:val="24"/>
          <w:szCs w:val="24"/>
          <w:lang w:eastAsia="ru-RU"/>
        </w:rPr>
        <w:t xml:space="preserve">- </w:t>
      </w:r>
      <w:r w:rsidR="00421397" w:rsidRPr="003F3AB7">
        <w:rPr>
          <w:sz w:val="24"/>
          <w:szCs w:val="24"/>
          <w:lang w:eastAsia="ru-RU"/>
        </w:rPr>
        <w:t>после завершения (окончания) формирования</w:t>
      </w:r>
      <w:r w:rsidR="003F3AB7" w:rsidRPr="003F3AB7">
        <w:rPr>
          <w:sz w:val="24"/>
          <w:szCs w:val="24"/>
          <w:lang w:eastAsia="ru-RU"/>
        </w:rPr>
        <w:t xml:space="preserve"> определяется в порядке:</w:t>
      </w:r>
    </w:p>
    <w:p w14:paraId="10962933" w14:textId="406C6CC9" w:rsidR="003F3AB7" w:rsidRPr="003F3AB7" w:rsidRDefault="00542B72" w:rsidP="003F3AB7">
      <w:pPr>
        <w:autoSpaceDN w:val="0"/>
        <w:adjustRightInd w:val="0"/>
        <w:spacing w:line="360" w:lineRule="auto"/>
        <w:ind w:firstLine="708"/>
        <w:jc w:val="both"/>
        <w:rPr>
          <w:sz w:val="24"/>
          <w:szCs w:val="24"/>
          <w:lang w:eastAsia="ru-RU"/>
        </w:rPr>
      </w:pPr>
      <w:r w:rsidRPr="003F3AB7">
        <w:rPr>
          <w:sz w:val="24"/>
          <w:szCs w:val="24"/>
          <w:lang w:eastAsia="ru-RU"/>
        </w:rPr>
        <w:t>-</w:t>
      </w:r>
      <w:r w:rsidR="008D5373" w:rsidRPr="003F3AB7">
        <w:rPr>
          <w:sz w:val="24"/>
          <w:szCs w:val="24"/>
          <w:lang w:eastAsia="ru-RU"/>
        </w:rPr>
        <w:t xml:space="preserve"> </w:t>
      </w:r>
      <w:r w:rsidR="00FD11F8" w:rsidRPr="003F3AB7">
        <w:rPr>
          <w:sz w:val="24"/>
          <w:szCs w:val="24"/>
          <w:lang w:eastAsia="ru-RU"/>
        </w:rPr>
        <w:t>каждый рабочий день до дня</w:t>
      </w:r>
      <w:r w:rsidRPr="003F3AB7">
        <w:rPr>
          <w:sz w:val="24"/>
          <w:szCs w:val="24"/>
          <w:lang w:eastAsia="ru-RU"/>
        </w:rPr>
        <w:t>, в котором ПИФ исключен из реестра ПИФ;</w:t>
      </w:r>
    </w:p>
    <w:p w14:paraId="7792316F" w14:textId="76B4C929" w:rsidR="00542B72" w:rsidRPr="003F3AB7" w:rsidRDefault="00542B72" w:rsidP="003F3AB7">
      <w:pPr>
        <w:pStyle w:val="a8"/>
        <w:autoSpaceDN w:val="0"/>
        <w:adjustRightInd w:val="0"/>
        <w:spacing w:line="360" w:lineRule="auto"/>
        <w:ind w:left="0" w:firstLine="708"/>
        <w:jc w:val="both"/>
        <w:rPr>
          <w:sz w:val="24"/>
          <w:szCs w:val="24"/>
          <w:lang w:eastAsia="ru-RU"/>
        </w:rPr>
      </w:pPr>
      <w:r w:rsidRPr="003445DE">
        <w:rPr>
          <w:sz w:val="24"/>
          <w:szCs w:val="24"/>
          <w:lang w:eastAsia="ru-RU"/>
        </w:rPr>
        <w:t>- на последний рабочий день срока приема заявок на приобретение, погашение и обмен инвестиционных паев.</w:t>
      </w:r>
    </w:p>
    <w:p w14:paraId="3E7F5DB2" w14:textId="5770F913" w:rsidR="00006884" w:rsidRPr="003445DE" w:rsidRDefault="00006884" w:rsidP="00542B72">
      <w:pPr>
        <w:autoSpaceDN w:val="0"/>
        <w:adjustRightInd w:val="0"/>
        <w:spacing w:line="360" w:lineRule="auto"/>
        <w:ind w:firstLine="708"/>
        <w:jc w:val="both"/>
        <w:rPr>
          <w:sz w:val="24"/>
          <w:szCs w:val="24"/>
          <w:lang w:eastAsia="ru-RU"/>
        </w:rPr>
      </w:pP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2D48C65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23ED57E3" w14:textId="77777777" w:rsidR="00A36D4D" w:rsidRDefault="00A36D4D">
      <w:pPr>
        <w:suppressAutoHyphens w:val="0"/>
        <w:autoSpaceDE/>
        <w:spacing w:after="160" w:line="259" w:lineRule="auto"/>
        <w:rPr>
          <w:b/>
          <w:sz w:val="24"/>
          <w:szCs w:val="24"/>
          <w:lang w:eastAsia="ru-RU"/>
        </w:rPr>
      </w:pPr>
      <w:r>
        <w:rPr>
          <w:b/>
          <w:sz w:val="24"/>
          <w:szCs w:val="24"/>
          <w:lang w:eastAsia="ru-RU"/>
        </w:rPr>
        <w:br w:type="page"/>
      </w:r>
    </w:p>
    <w:p w14:paraId="693C3509" w14:textId="091C7626"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375122"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375123"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375124"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375125"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375126"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375127"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375128"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375129"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375130"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375131"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375132"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375133"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2C21EF4C">
                <v:shape id="_x0000_i1038" type="#_x0000_t75" style="width:57.75pt;height:28.5pt" o:ole="">
                  <v:imagedata r:id="rId37" o:title=""/>
                </v:shape>
                <o:OLEObject Type="Embed" ProgID="Equation.3" ShapeID="_x0000_i1038" DrawAspect="Content" ObjectID="_1844375134"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375135"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375136"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375137"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375138"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375139"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375140"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375141"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375142"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375143"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375144"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375145"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375146"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375147"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375148"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375149"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375150"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375151"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375152"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375153"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375154"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375155"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375156"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375157"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375158"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375159"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375160"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375161"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7A34072B">
                <v:shape id="_x0000_i1067" type="#_x0000_t75" style="width:136.5pt;height:64.5pt" o:ole="">
                  <v:imagedata r:id="rId81" o:title=""/>
                </v:shape>
                <o:OLEObject Type="Embed" ProgID="Equation.3" ShapeID="_x0000_i1067" DrawAspect="Content" ObjectID="_1844375162"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375163"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375164"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A36D4D">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1" w:name="цены_для_рос_цб"/>
            <w:bookmarkStart w:id="2"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1"/>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2"/>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9D742B"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9D742B"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9D742B"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9D742B"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9D742B"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9D742B"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7D941837" w:rsidR="00173D93" w:rsidRPr="00036AD1"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036AD1">
              <w:rPr>
                <w:rStyle w:val="afa"/>
                <w:lang w:eastAsia="ru-RU"/>
              </w:rPr>
              <w:footnoteReference w:id="2"/>
            </w:r>
            <w:r w:rsidR="00036AD1" w:rsidRPr="00036AD1">
              <w:rPr>
                <w:sz w:val="24"/>
                <w:szCs w:val="24"/>
              </w:rPr>
              <w:t>;</w:t>
            </w:r>
          </w:p>
          <w:p w14:paraId="4A82AB24" w14:textId="19520622" w:rsidR="00173D93" w:rsidRPr="00036AD1"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036AD1">
              <w:rPr>
                <w:rStyle w:val="afa"/>
                <w:lang w:eastAsia="ru-RU"/>
              </w:rPr>
              <w:footnoteReference w:id="3"/>
            </w:r>
            <w:r w:rsidR="00036AD1" w:rsidRPr="00036AD1">
              <w:rPr>
                <w:sz w:val="24"/>
                <w:szCs w:val="24"/>
              </w:rPr>
              <w:t>;</w:t>
            </w:r>
          </w:p>
          <w:p w14:paraId="11EC65F0" w14:textId="7AC20331" w:rsidR="00173D93" w:rsidRPr="00A36D4D"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036AD1">
              <w:rPr>
                <w:rStyle w:val="afa"/>
                <w:lang w:eastAsia="ru-RU"/>
              </w:rPr>
              <w:footnoteReference w:id="4"/>
            </w:r>
            <w:r w:rsidR="00036AD1" w:rsidRPr="00A36D4D">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9D742B"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9D742B"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9D742B"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9D742B"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9D742B"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3" w:name="_Toc27400762"/>
      <w:bookmarkStart w:id="4" w:name="приложение_6"/>
      <w:r w:rsidRPr="003445DE">
        <w:rPr>
          <w:b/>
          <w:sz w:val="24"/>
          <w:szCs w:val="24"/>
          <w:lang w:eastAsia="ru-RU"/>
        </w:rPr>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3"/>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375165"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375166"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375167"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9D742B"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9D742B"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9D742B"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9D742B"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9D742B"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9D742B"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9D742B"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9D742B"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4"/>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9D742B"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9D742B"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58FFF650"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6E994C80" w14:textId="437C7E63" w:rsidR="00A36D4D" w:rsidRPr="00A36D4D" w:rsidRDefault="00A36D4D" w:rsidP="00A36D4D">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4. Расчет вероятности дефолта по методу оценки интенсивности.</w:t>
      </w:r>
    </w:p>
    <w:p w14:paraId="0BE37E35" w14:textId="77777777" w:rsidR="000903F9" w:rsidRPr="003445DE" w:rsidRDefault="009D742B"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ruAAA (AAA(RU), 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9D742B"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0FC0A1CC" w14:textId="77777777" w:rsidR="00A36D4D" w:rsidRDefault="00A36D4D" w:rsidP="000903F9">
      <w:pPr>
        <w:pStyle w:val="a8"/>
        <w:spacing w:line="360" w:lineRule="auto"/>
        <w:ind w:left="0"/>
        <w:jc w:val="right"/>
        <w:rPr>
          <w:b/>
          <w:sz w:val="24"/>
          <w:szCs w:val="24"/>
        </w:rPr>
      </w:pPr>
    </w:p>
    <w:p w14:paraId="42038865" w14:textId="77777777" w:rsidR="00A36D4D" w:rsidRDefault="00A36D4D" w:rsidP="000903F9">
      <w:pPr>
        <w:pStyle w:val="a8"/>
        <w:spacing w:line="360" w:lineRule="auto"/>
        <w:ind w:left="0"/>
        <w:jc w:val="right"/>
        <w:rPr>
          <w:b/>
          <w:sz w:val="24"/>
          <w:szCs w:val="24"/>
        </w:rPr>
      </w:pPr>
    </w:p>
    <w:p w14:paraId="5E1D4850" w14:textId="77777777" w:rsidR="00A36D4D" w:rsidRDefault="00A36D4D" w:rsidP="000903F9">
      <w:pPr>
        <w:pStyle w:val="a8"/>
        <w:spacing w:line="360" w:lineRule="auto"/>
        <w:ind w:left="0"/>
        <w:jc w:val="right"/>
        <w:rPr>
          <w:b/>
          <w:sz w:val="24"/>
          <w:szCs w:val="24"/>
        </w:rPr>
      </w:pPr>
    </w:p>
    <w:p w14:paraId="580C10AC" w14:textId="0B4B2D80" w:rsidR="000903F9" w:rsidRPr="003445DE" w:rsidRDefault="000903F9" w:rsidP="000903F9">
      <w:pPr>
        <w:pStyle w:val="a8"/>
        <w:spacing w:line="360" w:lineRule="auto"/>
        <w:ind w:left="0"/>
        <w:jc w:val="right"/>
        <w:rPr>
          <w:b/>
          <w:sz w:val="24"/>
          <w:szCs w:val="24"/>
        </w:rPr>
      </w:pPr>
      <w:r w:rsidRPr="003445DE">
        <w:rPr>
          <w:b/>
          <w:sz w:val="24"/>
          <w:szCs w:val="24"/>
        </w:rPr>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A36D4D">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ельных платежей за 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ПИФ в 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A36D4D">
            <w:pPr>
              <w:numPr>
                <w:ilvl w:val="0"/>
                <w:numId w:val="8"/>
              </w:numPr>
              <w:tabs>
                <w:tab w:val="left" w:pos="976"/>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A36D4D">
            <w:pPr>
              <w:numPr>
                <w:ilvl w:val="0"/>
                <w:numId w:val="8"/>
              </w:numPr>
              <w:tabs>
                <w:tab w:val="left" w:pos="97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A36D4D">
            <w:pPr>
              <w:pStyle w:val="a8"/>
              <w:numPr>
                <w:ilvl w:val="0"/>
                <w:numId w:val="9"/>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A36D4D">
            <w:pPr>
              <w:numPr>
                <w:ilvl w:val="0"/>
                <w:numId w:val="9"/>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A36D4D">
            <w:pPr>
              <w:numPr>
                <w:ilvl w:val="0"/>
                <w:numId w:val="9"/>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A36D4D">
            <w:pPr>
              <w:numPr>
                <w:ilvl w:val="0"/>
                <w:numId w:val="9"/>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4A4873AB" w:rsidR="00371B7F" w:rsidRPr="003445DE" w:rsidRDefault="00421397" w:rsidP="00A36D4D">
            <w:pPr>
              <w:tabs>
                <w:tab w:val="left" w:pos="1021"/>
              </w:tabs>
              <w:autoSpaceDN w:val="0"/>
              <w:adjustRightInd w:val="0"/>
              <w:spacing w:line="360" w:lineRule="auto"/>
              <w:ind w:firstLine="767"/>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A36D4D">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A36D4D">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59041262" w14:textId="77777777" w:rsidR="00077E38" w:rsidRDefault="00421397" w:rsidP="00077E38">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7DEF1BA2" w:rsidR="00371B7F" w:rsidRPr="00077E38" w:rsidRDefault="00421397" w:rsidP="00077E38">
            <w:pPr>
              <w:tabs>
                <w:tab w:val="left" w:pos="1021"/>
              </w:tabs>
              <w:autoSpaceDN w:val="0"/>
              <w:adjustRightInd w:val="0"/>
              <w:spacing w:line="360" w:lineRule="auto"/>
              <w:jc w:val="both"/>
              <w:rPr>
                <w:bCs/>
                <w:sz w:val="24"/>
                <w:szCs w:val="24"/>
                <w:lang w:eastAsia="ru-RU"/>
              </w:rPr>
            </w:pPr>
            <w:r w:rsidRPr="00077E38">
              <w:rPr>
                <w:bCs/>
                <w:sz w:val="24"/>
                <w:szCs w:val="24"/>
                <w:lang w:eastAsia="ru-RU"/>
              </w:rPr>
              <w:t xml:space="preserve">В случае внесения изменения в </w:t>
            </w:r>
            <w:r w:rsidRPr="00077E38">
              <w:rPr>
                <w:sz w:val="24"/>
                <w:szCs w:val="24"/>
                <w:lang w:eastAsia="ru-RU"/>
              </w:rPr>
              <w:t>условия определения срока</w:t>
            </w:r>
            <w:r w:rsidRPr="00077E38">
              <w:rPr>
                <w:bCs/>
                <w:sz w:val="24"/>
                <w:szCs w:val="24"/>
                <w:lang w:eastAsia="ru-RU"/>
              </w:rPr>
              <w:t xml:space="preserve"> договора </w:t>
            </w:r>
            <w:r w:rsidRPr="00077E38">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077E38">
              <w:rPr>
                <w:sz w:val="24"/>
                <w:szCs w:val="24"/>
                <w:lang w:eastAsia="ru-RU"/>
              </w:rPr>
              <w:t xml:space="preserve">справедливой стоимости </w:t>
            </w:r>
            <w:r w:rsidRPr="00077E38">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077E38">
            <w:pPr>
              <w:pStyle w:val="a8"/>
              <w:numPr>
                <w:ilvl w:val="0"/>
                <w:numId w:val="29"/>
              </w:numPr>
              <w:tabs>
                <w:tab w:val="left" w:pos="991"/>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077E38">
            <w:pPr>
              <w:pStyle w:val="a8"/>
              <w:numPr>
                <w:ilvl w:val="0"/>
                <w:numId w:val="29"/>
              </w:numPr>
              <w:tabs>
                <w:tab w:val="left" w:pos="991"/>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077E38">
            <w:pPr>
              <w:pStyle w:val="a8"/>
              <w:numPr>
                <w:ilvl w:val="0"/>
                <w:numId w:val="29"/>
              </w:numPr>
              <w:tabs>
                <w:tab w:val="left" w:pos="99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077E38">
            <w:pPr>
              <w:pStyle w:val="a8"/>
              <w:numPr>
                <w:ilvl w:val="0"/>
                <w:numId w:val="29"/>
              </w:numPr>
              <w:tabs>
                <w:tab w:val="left" w:pos="991"/>
              </w:tabs>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077E38">
            <w:pPr>
              <w:pStyle w:val="a8"/>
              <w:numPr>
                <w:ilvl w:val="0"/>
                <w:numId w:val="30"/>
              </w:numPr>
              <w:tabs>
                <w:tab w:val="left" w:pos="991"/>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077E38">
            <w:pPr>
              <w:pStyle w:val="a8"/>
              <w:numPr>
                <w:ilvl w:val="0"/>
                <w:numId w:val="30"/>
              </w:numPr>
              <w:tabs>
                <w:tab w:val="left" w:pos="991"/>
              </w:tabs>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71B37AC5"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приходящегося на одну ценную 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077E38">
            <w:pPr>
              <w:pStyle w:val="a8"/>
              <w:numPr>
                <w:ilvl w:val="0"/>
                <w:numId w:val="31"/>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077E3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077E3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077E3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077E3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077E38">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077E3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077E3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077E3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077E3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077E38">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077E38">
            <w:pPr>
              <w:pStyle w:val="a8"/>
              <w:numPr>
                <w:ilvl w:val="0"/>
                <w:numId w:val="33"/>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077E38">
            <w:pPr>
              <w:pStyle w:val="a8"/>
              <w:numPr>
                <w:ilvl w:val="0"/>
                <w:numId w:val="33"/>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077E38">
            <w:pPr>
              <w:tabs>
                <w:tab w:val="left" w:pos="886"/>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077E38">
            <w:pPr>
              <w:pStyle w:val="a8"/>
              <w:numPr>
                <w:ilvl w:val="0"/>
                <w:numId w:val="34"/>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077E38">
            <w:pPr>
              <w:pStyle w:val="a8"/>
              <w:numPr>
                <w:ilvl w:val="0"/>
                <w:numId w:val="34"/>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1DF46B21" w14:textId="19646FA2" w:rsidR="00077E38" w:rsidRDefault="00077E38" w:rsidP="003F590D">
      <w:pPr>
        <w:autoSpaceDN w:val="0"/>
        <w:adjustRightInd w:val="0"/>
        <w:spacing w:line="360" w:lineRule="auto"/>
        <w:jc w:val="right"/>
        <w:rPr>
          <w:b/>
          <w:sz w:val="24"/>
          <w:szCs w:val="24"/>
          <w:lang w:eastAsia="ru-RU"/>
        </w:rPr>
      </w:pPr>
    </w:p>
    <w:p w14:paraId="497E9D46" w14:textId="3AB4CDF5" w:rsidR="00077E38" w:rsidRDefault="00077E38" w:rsidP="00077E38">
      <w:pPr>
        <w:suppressAutoHyphens w:val="0"/>
        <w:autoSpaceDE/>
        <w:spacing w:after="160" w:line="259" w:lineRule="auto"/>
        <w:rPr>
          <w:b/>
          <w:sz w:val="24"/>
          <w:szCs w:val="24"/>
          <w:lang w:eastAsia="ru-RU"/>
        </w:rPr>
      </w:pPr>
      <w:r>
        <w:rPr>
          <w:b/>
          <w:sz w:val="24"/>
          <w:szCs w:val="24"/>
          <w:lang w:eastAsia="ru-RU"/>
        </w:rPr>
        <w:br w:type="page"/>
      </w:r>
    </w:p>
    <w:p w14:paraId="52999FA5" w14:textId="6310FE30"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077E38">
            <w:pPr>
              <w:pStyle w:val="a8"/>
              <w:numPr>
                <w:ilvl w:val="0"/>
                <w:numId w:val="46"/>
              </w:numPr>
              <w:tabs>
                <w:tab w:val="left" w:pos="271"/>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077E38">
            <w:pPr>
              <w:pStyle w:val="a8"/>
              <w:numPr>
                <w:ilvl w:val="0"/>
                <w:numId w:val="46"/>
              </w:numPr>
              <w:tabs>
                <w:tab w:val="left" w:pos="271"/>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077E38">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077E38">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077E38">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077E38">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077E38">
            <w:pPr>
              <w:tabs>
                <w:tab w:val="left" w:pos="221"/>
              </w:tabs>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3A3718B2" w14:textId="77777777" w:rsidR="00497323" w:rsidRPr="003445DE" w:rsidRDefault="00497323" w:rsidP="00E845C5">
      <w:pPr>
        <w:autoSpaceDN w:val="0"/>
        <w:adjustRightInd w:val="0"/>
        <w:spacing w:line="360" w:lineRule="auto"/>
        <w:ind w:firstLine="709"/>
        <w:jc w:val="right"/>
        <w:rPr>
          <w:b/>
          <w:sz w:val="24"/>
          <w:szCs w:val="24"/>
          <w:lang w:eastAsia="ru-RU"/>
        </w:rPr>
      </w:pPr>
    </w:p>
    <w:p w14:paraId="6EBB3A3B" w14:textId="77777777" w:rsidR="00A22F12" w:rsidRPr="003445DE" w:rsidRDefault="00A22F12" w:rsidP="00E845C5">
      <w:pPr>
        <w:suppressAutoHyphens w:val="0"/>
        <w:autoSpaceDE/>
        <w:spacing w:line="360" w:lineRule="auto"/>
        <w:rPr>
          <w:b/>
          <w:sz w:val="24"/>
          <w:szCs w:val="24"/>
          <w:lang w:eastAsia="ru-RU"/>
        </w:rPr>
      </w:pPr>
      <w:r w:rsidRPr="003445DE">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01ED0EAF" w14:textId="513B50A2" w:rsidR="00077E38" w:rsidRDefault="00077E38" w:rsidP="00643984">
      <w:pPr>
        <w:autoSpaceDN w:val="0"/>
        <w:adjustRightInd w:val="0"/>
        <w:spacing w:line="360" w:lineRule="auto"/>
        <w:jc w:val="right"/>
        <w:rPr>
          <w:b/>
          <w:sz w:val="24"/>
          <w:szCs w:val="24"/>
          <w:lang w:eastAsia="ru-RU"/>
        </w:rPr>
      </w:pPr>
    </w:p>
    <w:p w14:paraId="0219CC01" w14:textId="3A896E57" w:rsidR="00077E38" w:rsidRDefault="00077E38" w:rsidP="00077E38">
      <w:pPr>
        <w:suppressAutoHyphens w:val="0"/>
        <w:autoSpaceDE/>
        <w:spacing w:after="160" w:line="259" w:lineRule="auto"/>
        <w:rPr>
          <w:b/>
          <w:sz w:val="24"/>
          <w:szCs w:val="24"/>
          <w:lang w:eastAsia="ru-RU"/>
        </w:rPr>
      </w:pPr>
      <w:r>
        <w:rPr>
          <w:b/>
          <w:sz w:val="24"/>
          <w:szCs w:val="24"/>
          <w:lang w:eastAsia="ru-RU"/>
        </w:rPr>
        <w:br w:type="page"/>
      </w:r>
    </w:p>
    <w:p w14:paraId="6D27718D" w14:textId="3A896E57"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в размере суммы денежных средств, переданные Фондом по первой части договора РЕПО, увеличенной на сумму процентов, подлежащих 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375168"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9D742B"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9D742B"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9D742B"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9D742B"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9D742B"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5C0C6B6D" w14:textId="77777777" w:rsidR="00F2230D" w:rsidRPr="003445DE" w:rsidRDefault="00F2230D" w:rsidP="00E845C5">
      <w:pPr>
        <w:autoSpaceDN w:val="0"/>
        <w:adjustRightInd w:val="0"/>
        <w:spacing w:line="360" w:lineRule="auto"/>
        <w:ind w:firstLine="709"/>
        <w:jc w:val="both"/>
        <w:rPr>
          <w:sz w:val="24"/>
          <w:szCs w:val="24"/>
          <w:lang w:eastAsia="ru-RU"/>
        </w:rPr>
      </w:pPr>
    </w:p>
    <w:p w14:paraId="63821999" w14:textId="77777777" w:rsidR="00CD45B5" w:rsidRPr="003445DE" w:rsidRDefault="00CD45B5" w:rsidP="00E845C5">
      <w:pPr>
        <w:autoSpaceDN w:val="0"/>
        <w:adjustRightInd w:val="0"/>
        <w:spacing w:line="360" w:lineRule="auto"/>
        <w:rPr>
          <w:b/>
          <w:sz w:val="24"/>
          <w:szCs w:val="24"/>
          <w:lang w:eastAsia="ru-RU"/>
        </w:rPr>
      </w:pPr>
    </w:p>
    <w:p w14:paraId="111CFD18" w14:textId="77777777" w:rsidR="008814F9" w:rsidRPr="003445DE" w:rsidRDefault="008814F9" w:rsidP="00E845C5">
      <w:pPr>
        <w:suppressAutoHyphens w:val="0"/>
        <w:autoSpaceDE/>
        <w:spacing w:line="360" w:lineRule="auto"/>
        <w:rPr>
          <w:b/>
          <w:sz w:val="24"/>
          <w:szCs w:val="24"/>
          <w:lang w:eastAsia="ru-RU"/>
        </w:rPr>
      </w:pPr>
      <w:r w:rsidRPr="003445DE">
        <w:rPr>
          <w:b/>
          <w:sz w:val="24"/>
          <w:szCs w:val="24"/>
          <w:lang w:eastAsia="ru-RU"/>
        </w:rPr>
        <w:br w:type="page"/>
      </w:r>
    </w:p>
    <w:p w14:paraId="20263486" w14:textId="77777777"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76B47FF0" w:rsidR="00AF6671" w:rsidRPr="003445DE" w:rsidRDefault="003A2DD0" w:rsidP="00077E38">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077E38">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077E38">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077E38">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077E38">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17A1ED7C" w14:textId="6BB4C336" w:rsidR="00AF6671" w:rsidRPr="003445DE" w:rsidRDefault="00AF6671" w:rsidP="00AF6671">
      <w:pPr>
        <w:suppressAutoHyphens w:val="0"/>
        <w:autoSpaceDE/>
        <w:spacing w:after="160" w:line="360" w:lineRule="auto"/>
        <w:ind w:firstLine="708"/>
        <w:jc w:val="both"/>
        <w:rPr>
          <w:sz w:val="24"/>
          <w:szCs w:val="24"/>
        </w:rPr>
      </w:pPr>
    </w:p>
    <w:p w14:paraId="10B1D2A6" w14:textId="334946D4" w:rsidR="00AF6671" w:rsidRPr="003445DE" w:rsidRDefault="00AF6671" w:rsidP="00AF6671">
      <w:pPr>
        <w:suppressAutoHyphens w:val="0"/>
        <w:autoSpaceDE/>
        <w:spacing w:after="160" w:line="360" w:lineRule="auto"/>
        <w:ind w:firstLine="708"/>
        <w:jc w:val="both"/>
        <w:rPr>
          <w:sz w:val="24"/>
          <w:szCs w:val="24"/>
        </w:rPr>
      </w:pPr>
    </w:p>
    <w:p w14:paraId="1D2F08E3" w14:textId="26274959" w:rsidR="00AF6671" w:rsidRPr="003445DE" w:rsidRDefault="00AF6671" w:rsidP="00AF6671">
      <w:pPr>
        <w:suppressAutoHyphens w:val="0"/>
        <w:autoSpaceDE/>
        <w:spacing w:after="160" w:line="360" w:lineRule="auto"/>
        <w:ind w:firstLine="708"/>
        <w:jc w:val="both"/>
        <w:rPr>
          <w:sz w:val="24"/>
          <w:szCs w:val="24"/>
        </w:rPr>
      </w:pPr>
    </w:p>
    <w:p w14:paraId="4C359EB1" w14:textId="072A3C0E" w:rsidR="00AF6671" w:rsidRPr="003445DE" w:rsidRDefault="00AF6671" w:rsidP="00AF6671">
      <w:pPr>
        <w:suppressAutoHyphens w:val="0"/>
        <w:autoSpaceDE/>
        <w:spacing w:after="160" w:line="360" w:lineRule="auto"/>
        <w:ind w:firstLine="708"/>
        <w:jc w:val="both"/>
        <w:rPr>
          <w:sz w:val="24"/>
          <w:szCs w:val="24"/>
        </w:rPr>
      </w:pPr>
    </w:p>
    <w:p w14:paraId="7A4E9ACE" w14:textId="2EDB8D1E" w:rsidR="00AF6671" w:rsidRPr="003445DE" w:rsidRDefault="00AF6671" w:rsidP="00AF6671">
      <w:pPr>
        <w:suppressAutoHyphens w:val="0"/>
        <w:autoSpaceDE/>
        <w:spacing w:after="160" w:line="360" w:lineRule="auto"/>
        <w:ind w:firstLine="708"/>
        <w:jc w:val="both"/>
        <w:rPr>
          <w:sz w:val="24"/>
          <w:szCs w:val="24"/>
        </w:rPr>
      </w:pPr>
    </w:p>
    <w:p w14:paraId="37C17DBC" w14:textId="34FA90D5" w:rsidR="00AF6671" w:rsidRPr="003445DE" w:rsidRDefault="00AF6671" w:rsidP="00AF6671">
      <w:pPr>
        <w:suppressAutoHyphens w:val="0"/>
        <w:autoSpaceDE/>
        <w:spacing w:after="160" w:line="360" w:lineRule="auto"/>
        <w:ind w:firstLine="708"/>
        <w:jc w:val="both"/>
        <w:rPr>
          <w:sz w:val="24"/>
          <w:szCs w:val="24"/>
        </w:rPr>
      </w:pPr>
    </w:p>
    <w:p w14:paraId="0B931C1D" w14:textId="05C564DA" w:rsidR="00AF6671" w:rsidRPr="003445DE" w:rsidRDefault="00AF6671" w:rsidP="00AF6671">
      <w:pPr>
        <w:suppressAutoHyphens w:val="0"/>
        <w:autoSpaceDE/>
        <w:spacing w:after="160" w:line="360" w:lineRule="auto"/>
        <w:ind w:firstLine="708"/>
        <w:jc w:val="both"/>
        <w:rPr>
          <w:sz w:val="24"/>
          <w:szCs w:val="24"/>
        </w:rPr>
      </w:pPr>
    </w:p>
    <w:p w14:paraId="00BAC4A8" w14:textId="2D24AB2F" w:rsidR="00AF6671" w:rsidRPr="003445DE" w:rsidRDefault="00AF6671" w:rsidP="00AF6671">
      <w:pPr>
        <w:suppressAutoHyphens w:val="0"/>
        <w:autoSpaceDE/>
        <w:spacing w:after="160" w:line="360" w:lineRule="auto"/>
        <w:ind w:firstLine="708"/>
        <w:jc w:val="both"/>
        <w:rPr>
          <w:sz w:val="24"/>
          <w:szCs w:val="24"/>
        </w:rPr>
      </w:pPr>
    </w:p>
    <w:p w14:paraId="72C7E32B" w14:textId="07B57C31" w:rsidR="00AF6671" w:rsidRPr="003445DE" w:rsidRDefault="00AF6671" w:rsidP="00AF6671">
      <w:pPr>
        <w:suppressAutoHyphens w:val="0"/>
        <w:autoSpaceDE/>
        <w:spacing w:after="160" w:line="360" w:lineRule="auto"/>
        <w:ind w:firstLine="708"/>
        <w:jc w:val="both"/>
        <w:rPr>
          <w:sz w:val="24"/>
          <w:szCs w:val="24"/>
        </w:rPr>
      </w:pPr>
    </w:p>
    <w:p w14:paraId="586A23DD" w14:textId="3787C13E" w:rsidR="00AF6671" w:rsidRPr="003445DE" w:rsidRDefault="00AF6671" w:rsidP="00AF6671">
      <w:pPr>
        <w:suppressAutoHyphens w:val="0"/>
        <w:autoSpaceDE/>
        <w:spacing w:after="160" w:line="360" w:lineRule="auto"/>
        <w:ind w:firstLine="708"/>
        <w:jc w:val="both"/>
        <w:rPr>
          <w:sz w:val="24"/>
          <w:szCs w:val="24"/>
        </w:rPr>
      </w:pPr>
    </w:p>
    <w:p w14:paraId="6E0D276F" w14:textId="31EAF0D2" w:rsidR="00AF6671" w:rsidRPr="003445DE" w:rsidRDefault="00AF6671" w:rsidP="00AF6671">
      <w:pPr>
        <w:suppressAutoHyphens w:val="0"/>
        <w:autoSpaceDE/>
        <w:spacing w:after="160" w:line="360" w:lineRule="auto"/>
        <w:ind w:firstLine="708"/>
        <w:jc w:val="both"/>
        <w:rPr>
          <w:sz w:val="24"/>
          <w:szCs w:val="24"/>
        </w:rPr>
      </w:pPr>
    </w:p>
    <w:p w14:paraId="58699A8C" w14:textId="21DD3DB0" w:rsidR="00AF6671" w:rsidRPr="003445DE" w:rsidRDefault="00AF6671" w:rsidP="00077E38">
      <w:pPr>
        <w:suppressAutoHyphens w:val="0"/>
        <w:autoSpaceDE/>
        <w:spacing w:after="160" w:line="360" w:lineRule="auto"/>
        <w:jc w:val="both"/>
        <w:rPr>
          <w:sz w:val="24"/>
          <w:szCs w:val="24"/>
        </w:rPr>
      </w:pPr>
    </w:p>
    <w:p w14:paraId="1C7B766E" w14:textId="77777777"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9D742B"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В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A36D4D">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A05EC9" w:rsidRDefault="00A05EC9" w:rsidP="002C56E6">
      <w:r>
        <w:separator/>
      </w:r>
    </w:p>
  </w:endnote>
  <w:endnote w:type="continuationSeparator" w:id="0">
    <w:p w14:paraId="0D1DE616" w14:textId="77777777" w:rsidR="00A05EC9" w:rsidRDefault="00A05EC9"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6AF79FEB" w:rsidR="00A05EC9" w:rsidRDefault="00A05EC9">
        <w:pPr>
          <w:pStyle w:val="ac"/>
          <w:jc w:val="right"/>
        </w:pPr>
        <w:r>
          <w:rPr>
            <w:noProof/>
          </w:rPr>
          <w:fldChar w:fldCharType="begin"/>
        </w:r>
        <w:r>
          <w:rPr>
            <w:noProof/>
          </w:rPr>
          <w:instrText>PAGE   \* MERGEFORMAT</w:instrText>
        </w:r>
        <w:r>
          <w:rPr>
            <w:noProof/>
          </w:rPr>
          <w:fldChar w:fldCharType="separate"/>
        </w:r>
        <w:r w:rsidR="00707F96">
          <w:rPr>
            <w:noProof/>
          </w:rPr>
          <w:t>67</w:t>
        </w:r>
        <w:r>
          <w:rPr>
            <w:noProof/>
          </w:rPr>
          <w:fldChar w:fldCharType="end"/>
        </w:r>
      </w:p>
    </w:sdtContent>
  </w:sdt>
  <w:p w14:paraId="04FE75E7" w14:textId="77777777" w:rsidR="00A05EC9" w:rsidRDefault="00A05EC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76EA3EAE" w:rsidR="00A05EC9" w:rsidRDefault="00A05EC9">
        <w:pPr>
          <w:pStyle w:val="ac"/>
          <w:jc w:val="right"/>
        </w:pPr>
        <w:r>
          <w:rPr>
            <w:noProof/>
          </w:rPr>
          <w:fldChar w:fldCharType="begin"/>
        </w:r>
        <w:r>
          <w:rPr>
            <w:noProof/>
          </w:rPr>
          <w:instrText>PAGE   \* MERGEFORMAT</w:instrText>
        </w:r>
        <w:r>
          <w:rPr>
            <w:noProof/>
          </w:rPr>
          <w:fldChar w:fldCharType="separate"/>
        </w:r>
        <w:r w:rsidR="00707F96">
          <w:rPr>
            <w:noProof/>
          </w:rPr>
          <w:t>93</w:t>
        </w:r>
        <w:r>
          <w:rPr>
            <w:noProof/>
          </w:rPr>
          <w:fldChar w:fldCharType="end"/>
        </w:r>
      </w:p>
    </w:sdtContent>
  </w:sdt>
  <w:p w14:paraId="33248CCB" w14:textId="77777777" w:rsidR="00A05EC9" w:rsidRDefault="00A05EC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25BA3A3D" w:rsidR="00A05EC9" w:rsidRDefault="00A05EC9">
        <w:pPr>
          <w:pStyle w:val="ac"/>
          <w:jc w:val="right"/>
        </w:pPr>
        <w:r>
          <w:rPr>
            <w:noProof/>
          </w:rPr>
          <w:fldChar w:fldCharType="begin"/>
        </w:r>
        <w:r>
          <w:rPr>
            <w:noProof/>
          </w:rPr>
          <w:instrText>PAGE   \* MERGEFORMAT</w:instrText>
        </w:r>
        <w:r>
          <w:rPr>
            <w:noProof/>
          </w:rPr>
          <w:fldChar w:fldCharType="separate"/>
        </w:r>
        <w:r w:rsidR="00707F96">
          <w:rPr>
            <w:noProof/>
          </w:rPr>
          <w:t>121</w:t>
        </w:r>
        <w:r>
          <w:rPr>
            <w:noProof/>
          </w:rPr>
          <w:fldChar w:fldCharType="end"/>
        </w:r>
      </w:p>
    </w:sdtContent>
  </w:sdt>
  <w:p w14:paraId="559430A5" w14:textId="77777777" w:rsidR="00A05EC9" w:rsidRDefault="00A05E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A05EC9" w:rsidRDefault="00A05EC9" w:rsidP="002C56E6">
      <w:r>
        <w:separator/>
      </w:r>
    </w:p>
  </w:footnote>
  <w:footnote w:type="continuationSeparator" w:id="0">
    <w:p w14:paraId="724B0FF0" w14:textId="77777777" w:rsidR="00A05EC9" w:rsidRDefault="00A05EC9" w:rsidP="002C56E6">
      <w:r>
        <w:continuationSeparator/>
      </w:r>
    </w:p>
  </w:footnote>
  <w:footnote w:id="1">
    <w:p w14:paraId="61D47649" w14:textId="77777777" w:rsidR="00A05EC9" w:rsidRPr="00E845C5" w:rsidRDefault="00A05EC9"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A05EC9" w:rsidRPr="00E845C5" w:rsidRDefault="00A05EC9" w:rsidP="00E845C5">
      <w:pPr>
        <w:pStyle w:val="aff4"/>
      </w:pPr>
      <w:r w:rsidRPr="00E845C5">
        <w:t>В случае возникновения следующих событий:</w:t>
      </w:r>
    </w:p>
    <w:p w14:paraId="318C8D5E" w14:textId="77777777" w:rsidR="00A05EC9" w:rsidRPr="00E845C5" w:rsidRDefault="00A05EC9" w:rsidP="00E460D2">
      <w:pPr>
        <w:pStyle w:val="aff4"/>
        <w:numPr>
          <w:ilvl w:val="0"/>
          <w:numId w:val="49"/>
        </w:numPr>
      </w:pPr>
      <w:r w:rsidRPr="00E845C5">
        <w:t>Возникновение признаков обесценения, изложенных в приложении 4.</w:t>
      </w:r>
    </w:p>
    <w:p w14:paraId="781826BD" w14:textId="77777777" w:rsidR="00A05EC9" w:rsidRPr="00E845C5" w:rsidRDefault="00A05EC9"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A05EC9" w:rsidRPr="00E845C5" w:rsidRDefault="00A05EC9" w:rsidP="00E460D2">
      <w:pPr>
        <w:pStyle w:val="aff4"/>
        <w:numPr>
          <w:ilvl w:val="0"/>
          <w:numId w:val="49"/>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A05EC9" w:rsidRPr="00E845C5" w:rsidRDefault="00A05EC9"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A05EC9" w:rsidRPr="00E845C5" w:rsidRDefault="00A05EC9"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A05EC9" w:rsidRPr="00CE2725" w:rsidRDefault="00A05EC9">
      <w:pPr>
        <w:pStyle w:val="aff4"/>
      </w:pPr>
    </w:p>
  </w:footnote>
  <w:footnote w:id="2">
    <w:p w14:paraId="66CDDC08" w14:textId="77777777" w:rsidR="00A05EC9" w:rsidRDefault="00A05EC9"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A05EC9" w:rsidRDefault="00A05EC9"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A05EC9" w:rsidRDefault="00A05EC9"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A05EC9" w:rsidRDefault="00A05EC9"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A05EC9" w:rsidRPr="008449D1" w:rsidRDefault="00A05EC9" w:rsidP="00BF6FF2">
      <w:pPr>
        <w:pStyle w:val="aff4"/>
        <w:rPr>
          <w:b/>
        </w:rPr>
      </w:pPr>
    </w:p>
  </w:footnote>
  <w:footnote w:id="6">
    <w:p w14:paraId="2A1A4BB8" w14:textId="77777777" w:rsidR="00A05EC9" w:rsidRDefault="00A05EC9"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A05EC9" w:rsidRPr="00B62470" w:rsidRDefault="00A05EC9"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A05EC9" w:rsidRPr="00B62470" w:rsidRDefault="00A05EC9"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A05EC9" w:rsidRDefault="00A05EC9"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A05EC9" w:rsidRDefault="00A05EC9"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A05EC9" w:rsidRDefault="00A05EC9"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A05EC9" w:rsidRPr="00341704" w:rsidRDefault="00A05EC9"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A05EC9" w:rsidRPr="00341704" w:rsidRDefault="00A05EC9"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A05EC9" w:rsidRDefault="00A05EC9"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A05EC9" w:rsidRPr="004A14EE" w:rsidRDefault="00A05EC9"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A05EC9" w:rsidRPr="004A14EE" w:rsidRDefault="00A05EC9"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A05EC9" w:rsidRPr="00E2653F" w:rsidRDefault="00A05EC9"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A05EC9" w:rsidRDefault="00A05EC9"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A05EC9" w:rsidRDefault="00A05EC9"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A05EC9" w:rsidRPr="00FE2BB4" w:rsidRDefault="00A05EC9"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A05EC9" w:rsidRDefault="00A05EC9"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A05EC9" w:rsidRDefault="00A05EC9"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A05EC9" w:rsidRDefault="00A05EC9"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A05EC9" w:rsidRDefault="00A05EC9"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A05EC9" w:rsidRPr="00EA2976" w:rsidRDefault="00A05EC9"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A05EC9" w:rsidRDefault="00A05EC9"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A05EC9" w:rsidRPr="00AC2C21" w:rsidRDefault="00A05EC9"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A05EC9" w:rsidRPr="00AC2C21" w:rsidRDefault="00A05EC9" w:rsidP="000903F9">
      <w:pPr>
        <w:pStyle w:val="aff4"/>
        <w:rPr>
          <w:sz w:val="16"/>
        </w:rPr>
      </w:pPr>
      <w:r w:rsidRPr="00AC2C21">
        <w:rPr>
          <w:sz w:val="16"/>
        </w:rPr>
        <w:t>LGD=1-RR,</w:t>
      </w:r>
    </w:p>
    <w:p w14:paraId="6C97F04C" w14:textId="77777777" w:rsidR="00A05EC9" w:rsidRPr="00AC2C21" w:rsidRDefault="00A05EC9" w:rsidP="000903F9">
      <w:pPr>
        <w:pStyle w:val="aff4"/>
        <w:rPr>
          <w:sz w:val="16"/>
        </w:rPr>
      </w:pPr>
      <w:r w:rsidRPr="00AC2C21">
        <w:rPr>
          <w:sz w:val="16"/>
        </w:rPr>
        <w:t>где:</w:t>
      </w:r>
    </w:p>
    <w:p w14:paraId="1BEA9649" w14:textId="77777777" w:rsidR="00A05EC9" w:rsidRDefault="00A05EC9"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A05EC9" w:rsidRDefault="00A05EC9"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A05EC9" w:rsidRDefault="00A05EC9" w:rsidP="009C05C4">
      <w:pPr>
        <w:pStyle w:val="aff4"/>
      </w:pPr>
      <w:r>
        <w:rPr>
          <w:rStyle w:val="afa"/>
        </w:rPr>
        <w:footnoteRef/>
      </w:r>
      <w:r>
        <w:t xml:space="preserve"> Например, гостиницы, хостелы и т.п.</w:t>
      </w:r>
    </w:p>
  </w:footnote>
  <w:footnote w:id="28">
    <w:p w14:paraId="2682F55B" w14:textId="77777777" w:rsidR="00A05EC9" w:rsidRDefault="00A05EC9"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A05EC9" w:rsidRPr="00151F78" w:rsidRDefault="00A05EC9"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A05EC9" w:rsidRPr="00151F78" w:rsidRDefault="00A05EC9"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A05EC9" w:rsidRPr="00987453" w:rsidRDefault="00A05EC9"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A05EC9" w:rsidRPr="00987453" w:rsidRDefault="00A05EC9"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A05EC9" w:rsidRPr="00987453" w:rsidRDefault="00A05EC9"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A05EC9" w:rsidRPr="00987453" w:rsidRDefault="00A05EC9"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A05EC9" w:rsidRPr="00987453" w:rsidRDefault="00A05EC9"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A05EC9" w:rsidRDefault="00A05EC9"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7"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5"/>
  </w:num>
  <w:num w:numId="8">
    <w:abstractNumId w:val="46"/>
  </w:num>
  <w:num w:numId="9">
    <w:abstractNumId w:val="55"/>
  </w:num>
  <w:num w:numId="10">
    <w:abstractNumId w:val="20"/>
  </w:num>
  <w:num w:numId="11">
    <w:abstractNumId w:val="71"/>
  </w:num>
  <w:num w:numId="12">
    <w:abstractNumId w:val="54"/>
  </w:num>
  <w:num w:numId="13">
    <w:abstractNumId w:val="39"/>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1"/>
  </w:num>
  <w:num w:numId="22">
    <w:abstractNumId w:val="33"/>
  </w:num>
  <w:num w:numId="23">
    <w:abstractNumId w:val="17"/>
  </w:num>
  <w:num w:numId="24">
    <w:abstractNumId w:val="12"/>
  </w:num>
  <w:num w:numId="25">
    <w:abstractNumId w:val="40"/>
  </w:num>
  <w:num w:numId="26">
    <w:abstractNumId w:val="60"/>
  </w:num>
  <w:num w:numId="27">
    <w:abstractNumId w:val="42"/>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5"/>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6"/>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4"/>
  </w:num>
  <w:num w:numId="54">
    <w:abstractNumId w:val="45"/>
  </w:num>
  <w:num w:numId="55">
    <w:abstractNumId w:val="30"/>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7"/>
  </w:num>
  <w:num w:numId="60">
    <w:abstractNumId w:val="65"/>
  </w:num>
  <w:num w:numId="61">
    <w:abstractNumId w:val="9"/>
  </w:num>
  <w:num w:numId="62">
    <w:abstractNumId w:val="27"/>
  </w:num>
  <w:num w:numId="63">
    <w:abstractNumId w:val="21"/>
  </w:num>
  <w:num w:numId="64">
    <w:abstractNumId w:val="8"/>
  </w:num>
  <w:num w:numId="65">
    <w:abstractNumId w:val="38"/>
  </w:num>
  <w:num w:numId="66">
    <w:abstractNumId w:val="18"/>
  </w:num>
  <w:num w:numId="67">
    <w:abstractNumId w:val="29"/>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6"/>
  </w:num>
  <w:num w:numId="75">
    <w:abstractNumId w:val="58"/>
  </w:num>
  <w:num w:numId="76">
    <w:abstractNumId w:val="3"/>
  </w:num>
  <w:num w:numId="77">
    <w:abstractNumId w:val="32"/>
  </w:num>
  <w:num w:numId="78">
    <w:abstractNumId w:val="4"/>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8"/>
  </w:num>
  <w:num w:numId="82">
    <w:abstractNumId w:val="83"/>
  </w:num>
  <w:num w:numId="83">
    <w:abstractNumId w:val="62"/>
  </w:num>
  <w:num w:numId="84">
    <w:abstractNumId w:val="24"/>
  </w:num>
  <w:num w:numId="85">
    <w:abstractNumId w:val="77"/>
  </w:num>
  <w:num w:numId="86">
    <w:abstractNumId w:val="74"/>
  </w:num>
  <w:num w:numId="87">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6AD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77E38"/>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AE"/>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B7"/>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5C7B"/>
    <w:rsid w:val="0045798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07F96"/>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982"/>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DBE"/>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42B"/>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5EC9"/>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4D"/>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265"/>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9CB"/>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63C"/>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30FD57F-3E23-4187-BC07-3ED65ADC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31761</Words>
  <Characters>181039</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11</cp:revision>
  <cp:lastPrinted>2019-12-16T11:46:00Z</cp:lastPrinted>
  <dcterms:created xsi:type="dcterms:W3CDTF">2026-06-01T11:34:00Z</dcterms:created>
  <dcterms:modified xsi:type="dcterms:W3CDTF">2026-06-30T19:49:00Z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